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B24FEC">
      <w:pPr>
        <w:rPr>
          <w:sz w:val="32"/>
          <w:szCs w:val="32"/>
        </w:rPr>
      </w:pPr>
      <w:r w:rsidRPr="00B24FEC">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A52714" w:rsidP="00E91259">
                  <w:pPr>
                    <w:jc w:val="center"/>
                    <w:rPr>
                      <w:b/>
                      <w:sz w:val="17"/>
                      <w:szCs w:val="17"/>
                    </w:rPr>
                  </w:pPr>
                  <w:r>
                    <w:rPr>
                      <w:b/>
                      <w:sz w:val="17"/>
                      <w:szCs w:val="17"/>
                    </w:rPr>
                    <w:t>Membrane and transport 2</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A52714" w:rsidP="00E91259">
                  <w:pPr>
                    <w:jc w:val="center"/>
                    <w:rPr>
                      <w:b/>
                      <w:sz w:val="17"/>
                      <w:szCs w:val="17"/>
                    </w:rPr>
                  </w:pPr>
                  <w:r>
                    <w:rPr>
                      <w:b/>
                      <w:sz w:val="17"/>
                      <w:szCs w:val="17"/>
                    </w:rPr>
                    <w:t>Key concepts and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A52714" w:rsidP="00114007">
            <w:r>
              <w:t>Active transport</w:t>
            </w:r>
          </w:p>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52714" w:rsidP="00114007">
            <w:proofErr w:type="spellStart"/>
            <w:r>
              <w:t>Exocytosis</w:t>
            </w:r>
            <w:proofErr w:type="spellEnd"/>
          </w:p>
          <w:p w:rsidR="00A52714" w:rsidRDefault="00A52714" w:rsidP="00114007"/>
          <w:p w:rsidR="00A52714" w:rsidRDefault="00A52714" w:rsidP="00114007"/>
          <w:p w:rsidR="00A52714" w:rsidRDefault="00A52714" w:rsidP="00114007"/>
          <w:p w:rsidR="00A52714" w:rsidRDefault="00A52714" w:rsidP="00114007"/>
          <w:p w:rsidR="00A52714" w:rsidRDefault="00A52714"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52714" w:rsidP="00114007">
            <w:proofErr w:type="spellStart"/>
            <w:r>
              <w:t>Endocytosis</w:t>
            </w:r>
            <w:proofErr w:type="spellEnd"/>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roofErr w:type="spellStart"/>
            <w:r w:rsidR="00A52714">
              <w:t>Pinocytosis</w:t>
            </w:r>
            <w:proofErr w:type="spellEnd"/>
          </w:p>
          <w:p w:rsidR="00A52714" w:rsidRDefault="00A52714" w:rsidP="00114007"/>
          <w:p w:rsidR="00A52714" w:rsidRDefault="00A52714" w:rsidP="00114007"/>
          <w:p w:rsidR="00A52714" w:rsidRDefault="00A52714" w:rsidP="00114007"/>
          <w:p w:rsidR="00A52714" w:rsidRDefault="00A52714" w:rsidP="00114007"/>
          <w:p w:rsidR="00A52714" w:rsidRDefault="00A52714"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52714" w:rsidP="00114007">
            <w:proofErr w:type="spellStart"/>
            <w:r>
              <w:t>phagocytosis</w:t>
            </w:r>
            <w:proofErr w:type="spellEnd"/>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B24FEC"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B24FEC"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B24FEC"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B24FEC"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B24FEC"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B24FEC"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B24FEC"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B24FEC"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B24FEC"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B24FEC"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B24FEC"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B24FEC"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A52714"/>
    <w:rsid w:val="000127FD"/>
    <w:rsid w:val="000148A7"/>
    <w:rsid w:val="0009763E"/>
    <w:rsid w:val="000C56B5"/>
    <w:rsid w:val="000D5DA3"/>
    <w:rsid w:val="00101F31"/>
    <w:rsid w:val="00114007"/>
    <w:rsid w:val="00180676"/>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52714"/>
    <w:rsid w:val="00A96332"/>
    <w:rsid w:val="00AA7217"/>
    <w:rsid w:val="00AF5C77"/>
    <w:rsid w:val="00B15AF5"/>
    <w:rsid w:val="00B17704"/>
    <w:rsid w:val="00B2214F"/>
    <w:rsid w:val="00B24FEC"/>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TP101899649_template(2)</Template>
  <TotalTime>3</TotalTime>
  <Pages>3</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2012-08-09T03:26:00Z</dcterms:created>
  <dcterms:modified xsi:type="dcterms:W3CDTF">2012-08-09T03:36:00Z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